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Analysis Plan</w:t>
      </w:r>
    </w:p>
    <w:p>
      <w:pPr>
        <w:spacing w:after="0" w:before="0"/>
      </w:pPr>
      <w:r>
        <w:rPr>
          <w:i/>
          <w:iCs/>
          <w:color w:val="6B6661"/>
          <w:sz w:val="22"/>
          <w:szCs w:val="22"/>
        </w:rPr>
        <w:t xml:space="preserve">Pre-specify your analysis approach before data collection ends or before opening the dataset.</w:t>
      </w:r>
    </w:p>
    <w:p>
      <w:pPr>
        <w:pBdr>
          <w:bottom w:val="single" w:color="B0A593" w:sz="6" w:space="6"/>
        </w:pBdr>
        <w:spacing w:after="240" w:before="0"/>
      </w:pPr>
      <w:r>
        <w:t xml:space="preserve"/>
      </w:r>
    </w:p>
    <w:p>
      <w:pPr>
        <w:spacing w:after="80" w:before="180"/>
      </w:pPr>
      <w:r>
        <w:rPr>
          <w:b/>
          <w:bCs/>
          <w:color w:val="722B45"/>
          <w:sz w:val="18"/>
          <w:szCs w:val="18"/>
        </w:rPr>
        <w:t xml:space="preserve">What this is: </w:t>
      </w:r>
      <w:r>
        <w:rPr>
          <w:color w:val="6B6661"/>
          <w:sz w:val="18"/>
          <w:szCs w:val="18"/>
        </w:rPr>
        <w:t xml:space="preserve">A pre-analysis plan (PAP) documents your analysis decisions before you see the results. It prevents outcome switching, strengthens your credibility with reviewers, and gives you a clear roadmap when you sit down to analyse.</w:t>
      </w:r>
    </w:p>
    <w:p>
      <w:pPr>
        <w:spacing w:after="80" w:before="180"/>
      </w:pPr>
      <w:r>
        <w:rPr>
          <w:b/>
          <w:bCs/>
          <w:color w:val="722B45"/>
          <w:sz w:val="18"/>
          <w:szCs w:val="18"/>
        </w:rPr>
        <w:t xml:space="preserve">When to complete it: </w:t>
      </w:r>
      <w:r>
        <w:rPr>
          <w:color w:val="6B6661"/>
          <w:sz w:val="18"/>
          <w:szCs w:val="18"/>
        </w:rPr>
        <w:t xml:space="preserve">Ideally before data collection begins. At minimum, before you open the final dataset. Date and version it each time you update.</w:t>
      </w:r>
    </w:p>
    <w:p>
      <w:pPr>
        <w:spacing w:after="80" w:before="180"/>
      </w:pPr>
      <w:r>
        <w:rPr>
          <w:b/>
          <w:bCs/>
          <w:color w:val="722B45"/>
          <w:sz w:val="18"/>
          <w:szCs w:val="18"/>
        </w:rPr>
        <w:t xml:space="preserve">Confidentiality: </w:t>
      </w:r>
      <w:r>
        <w:rPr>
          <w:color w:val="6B6661"/>
          <w:sz w:val="18"/>
          <w:szCs w:val="18"/>
        </w:rPr>
        <w:t xml:space="preserve">Do not include identifiable participant information in this document. If you pre-register, you will share this publicly — write accordingly.</w:t>
      </w:r>
    </w:p>
    <w:p>
      <w:pPr>
        <w:pStyle w:val="Heading2"/>
      </w:pPr>
      <w:r>
        <w:t xml:space="preserve">1. Study overview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Study title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Principal investigator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Institution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Study design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Cross-sectional survey / RCT / Cohort / Case-control / Mixed methods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Primary objective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One sentence — what does this study aim to find out?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Study population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Who are you studying?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Sample size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State the final sample size and basis (see sample size calculation)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Data collection period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Dataset lock date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Date after which no new data will be added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Analysis date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Planned or actual date of analysis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Version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1.0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Date of this version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</w:pPr>
      <w:r>
        <w:t xml:space="preserve">2. Primary outcome and analysis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State one primary outcome. If you have more than one, justify it. Multiple primary outcomes require a multiple comparison correction.</w:t>
      </w:r>
    </w:p>
    <w:p>
      <w:pPr>
        <w:spacing w:before="160"/>
      </w:pPr>
    </w:p>
    <w:p>
      <w:pPr>
        <w:pStyle w:val="Heading3"/>
      </w:pPr>
      <w:r>
        <w:t xml:space="preserve">Primary outcome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200"/>
        <w:gridCol w:w="1680"/>
        <w:gridCol w:w="2000"/>
      </w:tblGrid>
      <w:tr>
        <w:trPr>
          <w:tblHeader/>
        </w:trP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Measure / instrument</w:t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Timepoint(s)</w:t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Direction of effect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Analysis method</w:t>
            </w:r>
          </w:p>
        </w:tc>
      </w:tr>
      <w:t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Treatment completion at 6 months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Binary — completed ≥80% of scheduled visits</w:t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6 months post-enrolment</w:t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Higher completion = better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Log-binomial regression; adjusted for age, sex, district</w:t>
            </w:r>
          </w:p>
        </w:tc>
      </w:tr>
      <w:t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</w:tr>
    </w:tbl>
    <w:p>
      <w:pPr>
        <w:spacing w:before="160"/>
      </w:pPr>
    </w:p>
    <w:p>
      <w:pPr>
        <w:pStyle w:val="Heading3"/>
      </w:pPr>
      <w:r>
        <w:t xml:space="preserve">Primary analysis approach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State the specific statistical test or model you will use for the primary outcome, including: model type, covariates to be included, and how you will handle confounders.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Style w:val="Heading3"/>
      </w:pPr>
      <w:r>
        <w:t xml:space="preserve">Covariates and confounders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List all variables you will include in the primary model and the justification for inclusion (a priori theory, prior evidence, or DAG).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Style w:val="Heading2"/>
      </w:pPr>
      <w:r>
        <w:t xml:space="preserve">3. Secondary outcomes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List secondary outcomes below. Keep this list short — everything here will require analysis and justification in your results.</w:t>
      </w:r>
    </w:p>
    <w:p>
      <w:pPr>
        <w:spacing w:before="120"/>
      </w:pPr>
    </w:p>
    <w:p>
      <w:pPr>
        <w:pStyle w:val="Heading3"/>
      </w:pPr>
      <w:r>
        <w:t xml:space="preserve">Secondary outcomes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200"/>
        <w:gridCol w:w="1680"/>
        <w:gridCol w:w="2000"/>
      </w:tblGrid>
      <w:tr>
        <w:trPr>
          <w:tblHeader/>
        </w:trP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Measure / instrument</w:t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Timepoint(s)</w:t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Direction of effect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Analysis method</w:t>
            </w:r>
          </w:p>
        </w:tc>
      </w:tr>
      <w:t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Quality of life score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EQ-5D-3L total utility score</w:t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Baseline and 6 months</w:t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Higher = better</w:t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Linear regression adjusted model</w:t>
            </w:r>
          </w:p>
        </w:tc>
      </w:tr>
      <w:t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262326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4. Subgroup analyses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Pre-specify any subgroup analyses here. Post-hoc subgroup analyses not listed here should be clearly labelled as exploratory in your paper.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8CABC" w:sz="4"/>
              <w:left w:val="single" w:color="722B45" w:sz="12"/>
              <w:bottom w:val="single" w:color="D8CABC" w:sz="4"/>
              <w:right w:val="single" w:color="D8CABC" w:sz="4"/>
            </w:tcBorders>
            <w:shd w:fill="FBF7F0" w:val="clear"/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 w:before="0"/>
            </w:pPr>
            <w:r>
              <w:rPr>
                <w:b/>
                <w:bCs/>
                <w:color w:val="722B45"/>
                <w:sz w:val="18"/>
                <w:szCs w:val="18"/>
              </w:rPr>
              <w:t xml:space="preserve">Example of a well-specified subgroup analysis:</w:t>
            </w:r>
          </w:p>
          <w:p>
            <w:pPr>
              <w:spacing w:after="0" w:before="0"/>
            </w:pPr>
            <w:r>
              <w:rPr>
                <w:i/>
                <w:iCs/>
                <w:color w:val="262326"/>
                <w:sz w:val="20"/>
                <w:szCs w:val="20"/>
              </w:rPr>
              <w:t xml:space="preserve">"We will examine whether the effect of the intervention on treatment completion differs by sex (female vs. male) and by distance to facility (&gt;10 km vs. ≤10 km). These are pre-specified. An interaction term (intervention × subgroup variable) will be added to the primary model. All p-values will be reported without formal correction given the exploratory nature of subgroup testing."</w:t>
            </w:r>
          </w:p>
        </w:tc>
      </w:tr>
    </w:tbl>
    <w:p>
      <w:pPr>
        <w:spacing w:before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2800"/>
        <w:gridCol w:w="2880"/>
      </w:tblGrid>
      <w:tr>
        <w:trPr>
          <w:tblHeader/>
        </w:trP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Subgroup variable</w:t>
            </w:r>
          </w:p>
        </w:tc>
        <w:tc>
          <w:tcPr>
            <w:tcW w:type="dxa" w:w="2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Groups to compare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Rationale / hypothesis</w:t>
            </w:r>
          </w:p>
        </w:tc>
        <w:tc>
          <w:tcPr>
            <w:tcW w:type="dxa" w:w="2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Analysis approach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>
      <w:pPr>
        <w:pStyle w:val="Heading2"/>
      </w:pPr>
      <w:r>
        <w:t xml:space="preserve">5. Sensitivity analyses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Sensitivity analyses test whether your primary finding holds under different analytical assumptions. List them here. Do not add sensitivity analyses post-hoc without labelling them exploratory.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Style w:val="Heading2"/>
      </w:pPr>
      <w:r>
        <w:t xml:space="preserve">6. Missing data approach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State your missing data strategy before you see how much is missing.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Expected % missing (primary outcome)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Missing data mechanism assumed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Missing completely at random (MCAR) / Missing at random (MAR) / Not missing at random (MNAR)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Primary approach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Complete case analysis / Multiple imputation (m=20) / Maximum likelihood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Sensitivity test for missing data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Best-case / worst-case imputation for MNAR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Variables included in imputation model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</w:pPr>
      <w:r>
        <w:t xml:space="preserve">7. Software, analyst, and version control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Statistical software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Stata 18 / SPSS 29 / R 4.3.2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Qualitative software (if any)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NVivo 14 / Atlas.ti 23 / manual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Lead analyst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Independent data verifier (if any)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This document version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 w:val="false"/>
                <w:iCs w:val="false"/>
                <w:color w:val="6B6661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Pre-registration DOI or date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OSF pre-registration submitted [date]. If not pre-registered, note why.</w:t>
            </w:r>
          </w:p>
        </w:tc>
      </w:tr>
      <w:tr>
        <w:tc>
          <w:tcPr>
            <w:tcW w:type="dxa" w:w="3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62326"/>
                <w:sz w:val="20"/>
                <w:szCs w:val="20"/>
              </w:rPr>
              <w:t xml:space="preserve">Location of this plan</w:t>
            </w:r>
          </w:p>
        </w:tc>
        <w:tc>
          <w:tcPr>
            <w:tcW w:type="dxa" w:w="70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i/>
                <w:iCs/>
                <w:color w:val="6B6661"/>
                <w:sz w:val="20"/>
                <w:szCs w:val="20"/>
              </w:rPr>
              <w:t xml:space="preserve">e.g. Shared drive path, OSF project, GitHub repo</w:t>
            </w:r>
          </w:p>
        </w:tc>
      </w:tr>
    </w:tbl>
    <w:p>
      <w:pPr>
        <w:pStyle w:val="Heading2"/>
      </w:pPr>
      <w:r>
        <w:t xml:space="preserve">8. Exploratory analyses (not pre-specified)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List any analyses you plan to conduct that are not pre-specified above. These must be clearly labelled as exploratory or hypothesis-generating in all outputs.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Style w:val="Heading2"/>
      </w:pPr>
      <w:r>
        <w:t xml:space="preserve">9. Deviations from this plan</w:t>
      </w:r>
    </w:p>
    <w:p>
      <w:pPr>
        <w:spacing w:after="100" w:before="0"/>
      </w:pPr>
      <w:r>
        <w:rPr>
          <w:b w:val="false"/>
          <w:bCs w:val="false"/>
          <w:i/>
          <w:iCs/>
          <w:color w:val="6B6661"/>
          <w:sz w:val="20"/>
          <w:szCs w:val="20"/>
        </w:rPr>
        <w:t xml:space="preserve">If you deviate from this plan after data collection, document it here — what changed, why, and when. Transparency about deviations is more credible than pretending a plan was always followed.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3280"/>
        <w:gridCol w:w="2600"/>
      </w:tblGrid>
      <w:tr>
        <w:trPr>
          <w:tblHeader/>
        </w:trPr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What changed</w:t>
            </w:r>
          </w:p>
        </w:tc>
        <w:tc>
          <w:tcPr>
            <w:tcW w:type="dxa" w:w="32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Why</w:t>
            </w:r>
          </w:p>
        </w:tc>
        <w:tc>
          <w:tcPr>
            <w:tcW w:type="dxa" w:w="26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Approved by</w:t>
            </w:r>
          </w:p>
        </w:tc>
      </w:tr>
      <w:tr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32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6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32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6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32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26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>
      <w:pPr>
        <w:pBdr>
          <w:top w:val="single" w:color="D8CABC" w:sz="4" w:space="6"/>
        </w:pBdr>
        <w:spacing w:after="0" w:before="480"/>
        <w:jc w:val="center"/>
      </w:pPr>
      <w:r>
        <w:rPr>
          <w:color w:val="6B6661"/>
          <w:sz w:val="16"/>
          <w:szCs w:val="16"/>
        </w:rPr>
        <w:t xml:space="preserve">Research Support  |  [website/contact placeholder]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32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0"/>
      <w:outlineLvl w:val="0"/>
    </w:pPr>
    <w:rPr>
      <w:rFonts w:ascii="Calibri" w:cs="Calibri" w:eastAsia="Calibri" w:hAnsi="Calibri"/>
      <w:b/>
      <w:bCs/>
      <w:color w:val="722B45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360"/>
      <w:outlineLvl w:val="1"/>
    </w:pPr>
    <w:rPr>
      <w:rFonts w:ascii="Calibri" w:cs="Calibri" w:eastAsia="Calibri" w:hAnsi="Calibri"/>
      <w:b/>
      <w:bCs/>
      <w:color w:val="722B45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Calibri" w:cs="Calibri" w:eastAsia="Calibri" w:hAnsi="Calibri"/>
      <w:b/>
      <w:bCs/>
      <w:color w:val="26232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2026-05-14T06:29:58.780Z</dcterms:created>
  <dcterms:modified xsi:type="dcterms:W3CDTF">2026-05-14T06:29:58.780Z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